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867"/>
        <w:gridCol w:w="1140"/>
        <w:gridCol w:w="2862"/>
        <w:gridCol w:w="1104"/>
        <w:gridCol w:w="556"/>
        <w:gridCol w:w="556"/>
        <w:gridCol w:w="556"/>
        <w:gridCol w:w="6064"/>
      </w:tblGrid>
      <w:tr w:rsidR="008B69D2" w:rsidRPr="00F14F7A" w:rsidTr="00A15274">
        <w:trPr>
          <w:cantSplit/>
          <w:tblHeader/>
        </w:trPr>
        <w:tc>
          <w:tcPr>
            <w:tcW w:w="286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8B69D2" w:rsidRPr="00F14F7A" w:rsidRDefault="008B69D2" w:rsidP="00DA117D">
            <w:pPr>
              <w:rPr>
                <w:b/>
                <w:sz w:val="20"/>
              </w:rPr>
            </w:pPr>
            <w:bookmarkStart w:id="0" w:name="_Toc507771178"/>
            <w:r w:rsidRPr="00F14F7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</w:t>
            </w:r>
            <w:r w:rsidRPr="00F14F7A">
              <w:rPr>
                <w:b/>
                <w:sz w:val="20"/>
              </w:rPr>
              <w:t xml:space="preserve">: 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B69D2" w:rsidRPr="00F14F7A" w:rsidRDefault="008B69D2" w:rsidP="00732697">
            <w:pPr>
              <w:rPr>
                <w:b/>
                <w:bCs/>
                <w:sz w:val="20"/>
              </w:rPr>
            </w:pPr>
            <w:r w:rsidRPr="00F14F7A">
              <w:rPr>
                <w:b/>
                <w:bCs/>
                <w:sz w:val="20"/>
              </w:rPr>
              <w:t>Vorname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8B69D2" w:rsidRPr="00F14F7A" w:rsidRDefault="008B69D2" w:rsidP="00732697">
            <w:pPr>
              <w:rPr>
                <w:b/>
                <w:bCs/>
                <w:sz w:val="20"/>
              </w:rPr>
            </w:pPr>
            <w:r w:rsidRPr="00F14F7A">
              <w:rPr>
                <w:b/>
                <w:bCs/>
                <w:sz w:val="20"/>
              </w:rPr>
              <w:t>Titel</w:t>
            </w:r>
          </w:p>
        </w:tc>
        <w:tc>
          <w:tcPr>
            <w:tcW w:w="773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69D2" w:rsidRPr="00F14F7A" w:rsidRDefault="008B69D2" w:rsidP="007207CD">
            <w:pPr>
              <w:rPr>
                <w:b/>
                <w:bCs/>
                <w:sz w:val="20"/>
              </w:rPr>
            </w:pPr>
            <w:r w:rsidRPr="00C2661F">
              <w:rPr>
                <w:sz w:val="19"/>
                <w:szCs w:val="19"/>
                <w:u w:val="single"/>
              </w:rPr>
              <w:t>Erläuterung</w:t>
            </w:r>
            <w:r w:rsidRPr="000F385D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0F385D">
              <w:rPr>
                <w:sz w:val="19"/>
                <w:szCs w:val="19"/>
              </w:rPr>
              <w:t xml:space="preserve">Bitte kreuzen Sie den entsprechenden Bereich an und geben in der nächsten Spalte eine Begründung </w:t>
            </w:r>
            <w:r w:rsidRPr="007207CD">
              <w:rPr>
                <w:sz w:val="19"/>
                <w:szCs w:val="19"/>
              </w:rPr>
              <w:t>(Akademischer Abschluss, Berufserfahrung</w:t>
            </w:r>
            <w:r>
              <w:rPr>
                <w:sz w:val="19"/>
                <w:szCs w:val="19"/>
              </w:rPr>
              <w:t>, Tätigkeiten, Schulungen, sons</w:t>
            </w:r>
            <w:r w:rsidRPr="007207CD">
              <w:rPr>
                <w:sz w:val="19"/>
                <w:szCs w:val="19"/>
              </w:rPr>
              <w:t>tige Nachweise)</w:t>
            </w:r>
            <w:r>
              <w:rPr>
                <w:sz w:val="19"/>
                <w:szCs w:val="19"/>
              </w:rPr>
              <w:t xml:space="preserve"> </w:t>
            </w:r>
            <w:r w:rsidRPr="000F385D">
              <w:rPr>
                <w:sz w:val="19"/>
                <w:szCs w:val="19"/>
              </w:rPr>
              <w:t>an, weshalb Sie sich als kompetent für den relevanten Bereich erachten.</w:t>
            </w:r>
          </w:p>
        </w:tc>
      </w:tr>
      <w:tr w:rsidR="008B69D2" w:rsidRPr="00F14F7A" w:rsidTr="00A15274">
        <w:trPr>
          <w:cantSplit/>
          <w:tblHeader/>
        </w:trPr>
        <w:tc>
          <w:tcPr>
            <w:tcW w:w="286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8B69D2" w:rsidRPr="00F14F7A" w:rsidRDefault="008B69D2" w:rsidP="00EC14F6">
            <w:pPr>
              <w:rPr>
                <w:sz w:val="20"/>
              </w:rPr>
            </w:pPr>
            <w:r w:rsidRPr="00F14F7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F14F7A">
              <w:rPr>
                <w:sz w:val="20"/>
                <w:lang w:val="en-GB"/>
              </w:rPr>
              <w:instrText xml:space="preserve"> FORMTEXT </w:instrText>
            </w:r>
            <w:r w:rsidRPr="00F14F7A">
              <w:rPr>
                <w:sz w:val="20"/>
                <w:lang w:val="en-GB"/>
              </w:rPr>
            </w:r>
            <w:r w:rsidRPr="00F14F7A">
              <w:rPr>
                <w:sz w:val="20"/>
                <w:lang w:val="en-GB"/>
              </w:rPr>
              <w:fldChar w:fldCharType="separate"/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8B69D2" w:rsidRPr="00F14F7A" w:rsidRDefault="008B69D2" w:rsidP="00EC14F6">
            <w:pPr>
              <w:rPr>
                <w:b/>
                <w:bCs/>
                <w:sz w:val="20"/>
              </w:rPr>
            </w:pPr>
            <w:r w:rsidRPr="00F14F7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F14F7A">
              <w:rPr>
                <w:sz w:val="20"/>
                <w:lang w:val="en-GB"/>
              </w:rPr>
              <w:instrText xml:space="preserve"> FORMTEXT </w:instrText>
            </w:r>
            <w:r w:rsidRPr="00F14F7A">
              <w:rPr>
                <w:sz w:val="20"/>
                <w:lang w:val="en-GB"/>
              </w:rPr>
            </w:r>
            <w:r w:rsidRPr="00F14F7A">
              <w:rPr>
                <w:sz w:val="20"/>
                <w:lang w:val="en-GB"/>
              </w:rPr>
              <w:fldChar w:fldCharType="separate"/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69D2" w:rsidRPr="00F14F7A" w:rsidRDefault="008B69D2" w:rsidP="00EC14F6">
            <w:pPr>
              <w:rPr>
                <w:b/>
                <w:bCs/>
                <w:sz w:val="20"/>
              </w:rPr>
            </w:pPr>
            <w:r w:rsidRPr="00F14F7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F14F7A">
              <w:rPr>
                <w:sz w:val="20"/>
                <w:lang w:val="en-GB"/>
              </w:rPr>
              <w:instrText xml:space="preserve"> FORMTEXT </w:instrText>
            </w:r>
            <w:r w:rsidRPr="00F14F7A">
              <w:rPr>
                <w:sz w:val="20"/>
                <w:lang w:val="en-GB"/>
              </w:rPr>
            </w:r>
            <w:r w:rsidRPr="00F14F7A">
              <w:rPr>
                <w:sz w:val="20"/>
                <w:lang w:val="en-GB"/>
              </w:rPr>
              <w:fldChar w:fldCharType="separate"/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noProof/>
                <w:sz w:val="20"/>
                <w:lang w:val="en-GB"/>
              </w:rPr>
              <w:t> </w:t>
            </w:r>
            <w:r w:rsidRPr="00F14F7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773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69D2" w:rsidRPr="00F14F7A" w:rsidRDefault="008B69D2" w:rsidP="00EC14F6">
            <w:pPr>
              <w:rPr>
                <w:sz w:val="20"/>
                <w:lang w:val="en-GB"/>
              </w:rPr>
            </w:pPr>
          </w:p>
        </w:tc>
      </w:tr>
      <w:tr w:rsidR="008B69D2" w:rsidRPr="00F14F7A" w:rsidTr="00A15274">
        <w:trPr>
          <w:cantSplit/>
          <w:tblHeader/>
        </w:trPr>
        <w:tc>
          <w:tcPr>
            <w:tcW w:w="14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B69D2" w:rsidRPr="00F14F7A" w:rsidRDefault="008B69D2" w:rsidP="00EC14F6">
            <w:pPr>
              <w:rPr>
                <w:sz w:val="2"/>
                <w:szCs w:val="2"/>
                <w:lang w:val="en-GB"/>
              </w:rPr>
            </w:pPr>
          </w:p>
        </w:tc>
      </w:tr>
      <w:tr w:rsidR="00617E07" w:rsidRPr="00F14F7A" w:rsidTr="00A15274">
        <w:trPr>
          <w:cantSplit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F14F7A" w:rsidRDefault="00617E07" w:rsidP="005F4F21">
            <w:pPr>
              <w:rPr>
                <w:rFonts w:asciiTheme="minorHAnsi" w:hAnsiTheme="minorHAnsi"/>
                <w:b/>
                <w:sz w:val="20"/>
              </w:rPr>
            </w:pPr>
            <w:r w:rsidRPr="00F14F7A">
              <w:rPr>
                <w:rFonts w:asciiTheme="minorHAnsi" w:hAnsiTheme="minorHAnsi"/>
                <w:b/>
                <w:sz w:val="20"/>
              </w:rPr>
              <w:t>Sach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F14F7A">
              <w:rPr>
                <w:rFonts w:asciiTheme="minorHAnsi" w:hAnsiTheme="minorHAnsi"/>
                <w:b/>
                <w:sz w:val="20"/>
              </w:rPr>
              <w:t>bereich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F14F7A" w:rsidRDefault="00617E07" w:rsidP="005F4F21">
            <w:pPr>
              <w:rPr>
                <w:rFonts w:asciiTheme="minorHAnsi" w:hAnsiTheme="minorHAnsi"/>
                <w:b/>
                <w:sz w:val="20"/>
              </w:rPr>
            </w:pPr>
            <w:r w:rsidRPr="00F14F7A">
              <w:rPr>
                <w:rFonts w:asciiTheme="minorHAnsi" w:hAnsiTheme="minorHAnsi"/>
                <w:b/>
                <w:sz w:val="20"/>
              </w:rPr>
              <w:t>Sach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F14F7A">
              <w:rPr>
                <w:rFonts w:asciiTheme="minorHAnsi" w:hAnsiTheme="minorHAnsi"/>
                <w:b/>
                <w:sz w:val="20"/>
              </w:rPr>
              <w:t>gebiet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F14F7A" w:rsidRDefault="00617E07" w:rsidP="005F4F21">
            <w:pPr>
              <w:rPr>
                <w:rFonts w:asciiTheme="minorHAnsi" w:hAnsiTheme="minorHAnsi"/>
                <w:b/>
                <w:sz w:val="20"/>
              </w:rPr>
            </w:pPr>
            <w:r w:rsidRPr="00F14F7A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004591" w:rsidRDefault="00617E07" w:rsidP="00617E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591">
              <w:rPr>
                <w:rFonts w:asciiTheme="minorHAnsi" w:hAnsiTheme="minorHAnsi"/>
                <w:b/>
                <w:sz w:val="18"/>
                <w:szCs w:val="18"/>
              </w:rPr>
              <w:t xml:space="preserve">Zutreffende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Bereiche</w:t>
            </w:r>
            <w:r w:rsidRPr="00004591">
              <w:rPr>
                <w:rFonts w:asciiTheme="minorHAnsi" w:hAnsiTheme="minorHAnsi"/>
                <w:b/>
                <w:sz w:val="18"/>
                <w:szCs w:val="18"/>
              </w:rPr>
              <w:t xml:space="preserve"> ankreuzen</w:t>
            </w:r>
            <w:r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F14F7A" w:rsidRDefault="00617E07" w:rsidP="00617E07">
            <w:pPr>
              <w:ind w:left="1325" w:hanging="1325"/>
              <w:rPr>
                <w:rFonts w:asciiTheme="minorHAnsi" w:hAnsiTheme="minorHAnsi"/>
                <w:b/>
                <w:sz w:val="20"/>
              </w:rPr>
            </w:pPr>
            <w:r w:rsidRPr="00F14F7A">
              <w:rPr>
                <w:rFonts w:asciiTheme="minorHAnsi" w:hAnsiTheme="minorHAnsi"/>
                <w:b/>
                <w:sz w:val="20"/>
              </w:rPr>
              <w:t>Begründung</w:t>
            </w:r>
            <w:r w:rsidRPr="00AD2750">
              <w:rPr>
                <w:rFonts w:eastAsia="Arial Unicode MS"/>
                <w:szCs w:val="22"/>
              </w:rPr>
              <w:tab/>
            </w:r>
            <w:r w:rsidRPr="00F14F7A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F14F7A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F14F7A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617E07" w:rsidRPr="00F14F7A" w:rsidTr="00A15274">
        <w:trPr>
          <w:cantSplit/>
          <w:tblHeader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F14F7A" w:rsidRDefault="00617E07" w:rsidP="007B21C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F14F7A" w:rsidRDefault="00617E07" w:rsidP="007B21C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E07" w:rsidRPr="00F14F7A" w:rsidRDefault="00617E07" w:rsidP="007B21C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E07" w:rsidRPr="00F14F7A" w:rsidRDefault="00617E07" w:rsidP="00265D5E">
            <w:pPr>
              <w:jc w:val="center"/>
              <w:rPr>
                <w:rFonts w:cs="Times New Roman"/>
                <w:b/>
                <w:sz w:val="20"/>
              </w:rPr>
            </w:pPr>
            <w:r w:rsidRPr="00F14F7A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E07" w:rsidRPr="00F14F7A" w:rsidRDefault="00617E07" w:rsidP="00265D5E">
            <w:pPr>
              <w:jc w:val="center"/>
              <w:rPr>
                <w:rFonts w:cs="Times New Roman"/>
                <w:b/>
                <w:sz w:val="20"/>
              </w:rPr>
            </w:pPr>
            <w:r w:rsidRPr="00F14F7A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E07" w:rsidRPr="00F14F7A" w:rsidRDefault="00617E07" w:rsidP="00191A76">
            <w:pPr>
              <w:jc w:val="center"/>
              <w:rPr>
                <w:rFonts w:cs="Times New Roman"/>
                <w:b/>
                <w:sz w:val="20"/>
              </w:rPr>
            </w:pPr>
            <w:r w:rsidRPr="00F14F7A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E07" w:rsidRPr="00F14F7A" w:rsidRDefault="00617E07" w:rsidP="007B21C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6C7692" w:rsidRDefault="000F385D" w:rsidP="008D31A7">
            <w:pPr>
              <w:rPr>
                <w:rFonts w:cs="Times New Roman"/>
                <w:b/>
                <w:sz w:val="20"/>
              </w:rPr>
            </w:pPr>
            <w:r w:rsidRPr="006C7692">
              <w:rPr>
                <w:rFonts w:cs="Times New Roman"/>
                <w:b/>
                <w:sz w:val="20"/>
              </w:rPr>
              <w:t xml:space="preserve">Mauterhebung und </w:t>
            </w:r>
            <w:r w:rsidR="008D31A7">
              <w:rPr>
                <w:rFonts w:cs="Times New Roman"/>
                <w:b/>
                <w:sz w:val="20"/>
              </w:rPr>
              <w:t>-</w:t>
            </w:r>
            <w:r w:rsidRPr="006C7692">
              <w:rPr>
                <w:rFonts w:cs="Times New Roman"/>
                <w:b/>
                <w:sz w:val="20"/>
              </w:rPr>
              <w:t>systeme (MautSysG)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0F385D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85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AD2750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85D">
              <w:rPr>
                <w:rFonts w:asciiTheme="minorHAnsi" w:hAnsiTheme="minorHAnsi"/>
                <w:sz w:val="20"/>
              </w:rPr>
              <w:instrText xml:space="preserve"> FO</w:instrText>
            </w:r>
            <w:r w:rsidRPr="00AD2750">
              <w:rPr>
                <w:rFonts w:asciiTheme="minorHAnsi" w:hAnsiTheme="minorHAnsi"/>
                <w:sz w:val="20"/>
              </w:rPr>
              <w:instrText xml:space="preserve">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AD2750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75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cs="Times New Roman"/>
                <w:b/>
                <w:sz w:val="20"/>
              </w:rPr>
              <w:t>Periodische Fahrzeugüberwachung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  <w:r w:rsidRPr="00F14F7A">
              <w:rPr>
                <w:rFonts w:cs="Times New Roman"/>
                <w:sz w:val="20"/>
              </w:rPr>
              <w:t>Überwachungsorganisationen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 xml:space="preserve">Der folgende Abschnitt des Formulars dient der fachlichen Zuordnung von Begutachtern und Fachexperten im Teilbereich </w:t>
            </w:r>
            <w:r w:rsidRPr="00F14F7A">
              <w:rPr>
                <w:b/>
                <w:sz w:val="20"/>
              </w:rPr>
              <w:t>Prüfung von Fahrzeugen und deren Teilen</w:t>
            </w:r>
            <w:r w:rsidRPr="00F14F7A">
              <w:rPr>
                <w:sz w:val="20"/>
              </w:rPr>
              <w:t>.</w:t>
            </w:r>
          </w:p>
          <w:p w:rsidR="000F385D" w:rsidRPr="009C14C7" w:rsidRDefault="000F385D" w:rsidP="009C14C7">
            <w:pPr>
              <w:rPr>
                <w:sz w:val="20"/>
              </w:rPr>
            </w:pPr>
            <w:r w:rsidRPr="00F14F7A">
              <w:rPr>
                <w:sz w:val="20"/>
              </w:rPr>
              <w:t>Im Fachbereich Kraftfahrwesen und Straßenverkehr werden Laboratorien und Inspektionsstellen begutachtet, die Fahrzeuge, Systeme, selbstständige technische Einheiten oder Fahrzeugteile im Rahmen der Genehmigung gemäß den relevanten straßenverkehrsrechtlichen Bestimmungen prüfen.</w:t>
            </w:r>
            <w:r w:rsidR="009C14C7">
              <w:rPr>
                <w:sz w:val="20"/>
              </w:rPr>
              <w:t xml:space="preserve"> </w:t>
            </w:r>
            <w:r w:rsidRPr="00F14F7A">
              <w:rPr>
                <w:sz w:val="20"/>
              </w:rPr>
              <w:t xml:space="preserve">Bitte versichern Sie sich als Antragsteller </w:t>
            </w:r>
            <w:r w:rsidRPr="00F14F7A">
              <w:rPr>
                <w:b/>
                <w:sz w:val="20"/>
              </w:rPr>
              <w:t xml:space="preserve">anhand der </w:t>
            </w:r>
            <w:r w:rsidR="008D31A7">
              <w:rPr>
                <w:b/>
                <w:sz w:val="20"/>
              </w:rPr>
              <w:br/>
            </w:r>
            <w:r w:rsidRPr="00F14F7A">
              <w:rPr>
                <w:b/>
                <w:sz w:val="20"/>
              </w:rPr>
              <w:t>Anlage 1 zu diesem Formular</w:t>
            </w:r>
            <w:r w:rsidRPr="00F14F7A">
              <w:rPr>
                <w:sz w:val="20"/>
              </w:rPr>
              <w:t>, ob in den aufgelisteten Sachbereichen allgemeine oder vertiefte Kenntnisse gemäß der Kompetenzmatrix erforderlich sind und nehmen dann Ihre Eintragungen entsprechend vor.</w:t>
            </w:r>
          </w:p>
        </w:tc>
      </w:tr>
      <w:tr w:rsidR="00ED2F08" w:rsidRPr="00F14F7A" w:rsidTr="00A15274">
        <w:trPr>
          <w:cantSplit/>
        </w:trPr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  <w:r w:rsidRPr="006C7692">
              <w:rPr>
                <w:rFonts w:cs="Times New Roman"/>
                <w:b/>
                <w:sz w:val="20"/>
              </w:rPr>
              <w:t>Prüfung von Fahrzeugen und deren Teilen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6C7692" w:rsidRDefault="00ED2F08" w:rsidP="008B69D2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cs="Times New Roman"/>
                <w:b/>
                <w:sz w:val="20"/>
              </w:rPr>
              <w:t>Motor- / Schadstoffemission (Abgas, Klimaanlagen) (02)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Emission von Dieselmotoren von zwei-, drei- und vierrädrigen Kraftfahrzeugen, mobilen Maschinen und Geräten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D" w:rsidRPr="00F14F7A" w:rsidRDefault="000F385D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Emission von zwei-, drei- und vierrädrigen Kraftfahrzeugen, Kleinkrafträdern, land- oder forstwirtschaftlichen Zugmaschinen, Klimaanlagen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D" w:rsidRPr="00F14F7A" w:rsidRDefault="000F385D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 xml:space="preserve">Erdgas- oder Flüssiggasanlagen zum Betrieb </w:t>
            </w:r>
            <w:r w:rsidR="008D31A7">
              <w:rPr>
                <w:sz w:val="20"/>
              </w:rPr>
              <w:br/>
            </w:r>
            <w:r w:rsidRPr="00F14F7A">
              <w:rPr>
                <w:sz w:val="20"/>
              </w:rPr>
              <w:t>von Fahrzeugmotoren Nachrüstanlagen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Ermittlung der Motorleistung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1F" w:rsidRPr="00F14F7A" w:rsidRDefault="00C2661F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Ermittlung des Absorptionskoeffizienten von Dieselmotoren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1F" w:rsidRPr="00F14F7A" w:rsidRDefault="00C2661F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Ermittlung des Kraftstoffverbrauchs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Prüfungen nach OECD-Code 2 Art. 4.1-4.4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Wasserstoffantrieb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ED2F08" w:rsidRPr="00F14F7A" w:rsidTr="00A15274">
        <w:trPr>
          <w:cantSplit/>
          <w:trHeight w:val="30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asciiTheme="minorHAnsi" w:hAnsiTheme="minorHAnsi"/>
                <w:b/>
                <w:sz w:val="20"/>
              </w:rPr>
              <w:t>Geräuschemission (03)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highlight w:val="lightGray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t>Messung des Geräuschpegels</w:t>
            </w:r>
          </w:p>
        </w:tc>
        <w:bookmarkStart w:id="4" w:name="_GoBack"/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asciiTheme="minorHAnsi" w:eastAsia="Arial Unicode MS" w:hAnsiTheme="minorHAnsi"/>
                <w:sz w:val="20"/>
              </w:rPr>
            </w:pPr>
            <w:r w:rsidRPr="00F14F7A">
              <w:rPr>
                <w:rFonts w:asciiTheme="minorHAnsi" w:eastAsia="Arial Unicode MS" w:hAnsiTheme="minorHAnsi"/>
                <w:sz w:val="20"/>
              </w:rPr>
              <w:t>Schallzeichen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t xml:space="preserve">Messung des Geräuschpegels in Ohrhöhe des Fahrers </w:t>
            </w:r>
            <w:r w:rsidR="008B5E46">
              <w:rPr>
                <w:rFonts w:asciiTheme="minorHAnsi" w:hAnsiTheme="minorHAnsi"/>
                <w:sz w:val="20"/>
              </w:rPr>
              <w:br/>
            </w:r>
            <w:r w:rsidRPr="00F14F7A">
              <w:rPr>
                <w:rFonts w:asciiTheme="minorHAnsi" w:hAnsiTheme="minorHAnsi"/>
                <w:sz w:val="20"/>
              </w:rPr>
              <w:t>bei land- oder forstwirtschaftlichen Zugmaschinen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t>Warneinrichtungen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t> </w:t>
            </w:r>
            <w:r w:rsidRPr="00F14F7A">
              <w:rPr>
                <w:rFonts w:asciiTheme="minorHAnsi" w:hAnsiTheme="minorHAnsi"/>
                <w:sz w:val="20"/>
                <w:highlight w:val="lightGray"/>
              </w:rPr>
              <w:fldChar w:fldCharType="end"/>
            </w:r>
          </w:p>
        </w:tc>
      </w:tr>
      <w:tr w:rsidR="00A15274" w:rsidRPr="00F14F7A" w:rsidTr="00102725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274" w:rsidRPr="00F14F7A" w:rsidRDefault="00A15274" w:rsidP="00102725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A15274">
              <w:rPr>
                <w:rFonts w:asciiTheme="minorHAnsi" w:hAnsiTheme="minorHAnsi"/>
                <w:b/>
                <w:sz w:val="20"/>
              </w:rPr>
              <w:t>Instandhaltungserbringung (Werkstätten)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15274" w:rsidRPr="00F14F7A" w:rsidTr="00102725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4" w:rsidRPr="00F14F7A" w:rsidRDefault="00A15274" w:rsidP="00102725">
            <w:pPr>
              <w:spacing w:before="20" w:after="20"/>
              <w:rPr>
                <w:sz w:val="20"/>
              </w:rPr>
            </w:pPr>
            <w:r w:rsidRPr="00A15274">
              <w:rPr>
                <w:sz w:val="20"/>
              </w:rPr>
              <w:t>Genehmigung und Berechtigung zum Zugriff auf sicherheitsrelevante Reparatur- und Wartungsinformationen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74" w:rsidRPr="00F14F7A" w:rsidRDefault="00A15274" w:rsidP="00102725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asciiTheme="minorHAnsi" w:hAnsiTheme="minorHAnsi"/>
                <w:b/>
                <w:sz w:val="20"/>
              </w:rPr>
              <w:t>Lenk- und Bremsanlage (04)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sz w:val="20"/>
              </w:rPr>
            </w:pPr>
            <w:r w:rsidRPr="00F14F7A">
              <w:rPr>
                <w:sz w:val="20"/>
              </w:rPr>
              <w:t>Prüfung der Lenkanlage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Prüfung der Bremsanlage von Fz. mit mindestens 4 Rädern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8D31A7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Prüfung der Bremsanlage von 2-/3-rädrigen Fahrzeugen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Prüfung der Bremsanlage von Fz.-Hänger-Kombinationen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Prüfung von Auflaufbremsanlagen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asciiTheme="minorHAnsi" w:hAnsiTheme="minorHAnsi"/>
                <w:b/>
                <w:sz w:val="20"/>
              </w:rPr>
              <w:t>Lenk- und Bremsanlage (04)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C7" w:rsidRPr="00F14F7A" w:rsidRDefault="009C14C7" w:rsidP="008D31A7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Prüfung von Fahrzeugsystemen, die mit Bremsanlagen zusammenwirken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8B5E46" w:rsidRDefault="009C14C7" w:rsidP="000F385D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4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8B5E46" w:rsidRDefault="009C14C7" w:rsidP="000F385D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4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Prüfung von Anhängern mit elektrischen Bremsanlagen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46">
              <w:rPr>
                <w:rFonts w:asciiTheme="minorHAnsi" w:hAnsiTheme="minorHAnsi"/>
                <w:sz w:val="20"/>
              </w:rPr>
              <w:instrText xml:space="preserve"> FORMCHECKBO</w:instrText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C7" w:rsidRPr="00F14F7A" w:rsidRDefault="009C14C7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Schwungmassenprüfverfahren für Bremsbeläge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8D31A7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Überprüfung Vorrichtung zur Betätigung der Bremse des gezogenen Fahrzeuges und der Bremsverbindungsleitung zwischen Zugmaschine und gezogenem Fahrzeug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Austauschbremsbeläge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Brems- und Spurhalteprüfung mit Ersatzrädern/-Reifen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  <w:r w:rsidRPr="006C7692">
              <w:rPr>
                <w:rFonts w:eastAsia="Arial Unicode MS"/>
                <w:b/>
                <w:sz w:val="20"/>
              </w:rPr>
              <w:t>Räder/Reifen (05)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104" w:hanging="13"/>
              <w:rPr>
                <w:sz w:val="20"/>
              </w:rPr>
            </w:pPr>
            <w:r w:rsidRPr="00F14F7A">
              <w:rPr>
                <w:sz w:val="20"/>
              </w:rPr>
              <w:t>Prüfung der Reifen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104" w:hanging="13"/>
              <w:rPr>
                <w:sz w:val="20"/>
              </w:rPr>
            </w:pPr>
            <w:r w:rsidRPr="00F14F7A">
              <w:rPr>
                <w:sz w:val="20"/>
              </w:rPr>
              <w:t>Prüfung von Rädern/Sonderrädern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104" w:hanging="13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Reifenumrüstung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104" w:hanging="13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Radabdeckungen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ED2F08">
            <w:pPr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asciiTheme="minorHAnsi" w:hAnsiTheme="minorHAnsi"/>
                <w:b/>
                <w:sz w:val="20"/>
              </w:rPr>
              <w:t>Lichttechnische Einrichtungen (06)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0F385D">
            <w:pPr>
              <w:rPr>
                <w:rFonts w:asciiTheme="minorHAnsi" w:hAnsiTheme="minorHAnsi"/>
                <w:sz w:val="20"/>
              </w:rPr>
            </w:pP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ind w:left="-53" w:firstLine="53"/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C7" w:rsidRPr="00F14F7A" w:rsidRDefault="009C14C7" w:rsidP="008D31A7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Rückstrahler (RS), Großflächen-RS, Pedal-, SpeichenRS, Parkwarntafeln, retro-refl. Streifen an Fahrradreifen, Heckmarkierungstafeln für langs. fahr. Fz., Tafeln zur hint. Kennz. v. schweren und langen Fz., rot-weiße Warnmark. z. Sicher</w:t>
            </w:r>
            <w:r w:rsidR="008D31A7">
              <w:rPr>
                <w:rFonts w:eastAsia="Arial Unicode MS"/>
                <w:sz w:val="20"/>
              </w:rPr>
              <w:t>n</w:t>
            </w:r>
            <w:r w:rsidRPr="00F14F7A">
              <w:rPr>
                <w:rFonts w:eastAsia="Arial Unicode MS"/>
                <w:sz w:val="20"/>
              </w:rPr>
              <w:t xml:space="preserve"> v. Hubbühnen, Konturmarkierung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8B5E46" w:rsidRDefault="009C14C7" w:rsidP="000F385D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4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8B5E46" w:rsidRDefault="009C14C7" w:rsidP="000F385D">
            <w:pPr>
              <w:jc w:val="center"/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E4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8B5E46" w:rsidRDefault="009C14C7" w:rsidP="000F385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sz w:val="20"/>
              </w:rPr>
            </w:pPr>
            <w:r w:rsidRPr="00F14F7A">
              <w:rPr>
                <w:sz w:val="20"/>
              </w:rPr>
              <w:t>Warndreiecke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Nebelschlussleuchten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8D31A7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Umriss-, Begrenzungs-, Schluss-, Brems- und Seitenmarkierungsleuchten, Tagfahrleuchten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Fahrtrichtungsanzeiger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Rückfahrscheinwerfer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Parkleuchten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Leuchten zur Sicherung hinausragender Ladung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Kennzeichenbeleuchtung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F" w:rsidRPr="00F14F7A" w:rsidRDefault="00C2661F" w:rsidP="008D31A7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Scheinwerfer für Fern- und Abblendlicht, Nebelscheinwerfer/Glühlampen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F" w:rsidRPr="00F14F7A" w:rsidRDefault="00C2661F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 xml:space="preserve">Kennleuchten für blaues Blinklicht § 52 Abs. 3 StVZO, </w:t>
            </w:r>
            <w:r w:rsidR="008B5E46">
              <w:rPr>
                <w:rFonts w:eastAsia="Arial Unicode MS"/>
                <w:sz w:val="20"/>
              </w:rPr>
              <w:br/>
            </w:r>
            <w:r w:rsidRPr="00F14F7A">
              <w:rPr>
                <w:rFonts w:eastAsia="Arial Unicode MS"/>
                <w:sz w:val="20"/>
              </w:rPr>
              <w:t xml:space="preserve">Kennleuchten für gelbes und rotes Blinklicht § 52 Abs. 4 StVZO, tragbare Blinkleuchten § 53 Abs. 3 StVZO, </w:t>
            </w:r>
            <w:r w:rsidR="008B5E46">
              <w:rPr>
                <w:rFonts w:eastAsia="Arial Unicode MS"/>
                <w:sz w:val="20"/>
              </w:rPr>
              <w:br/>
            </w:r>
            <w:r w:rsidRPr="00F14F7A">
              <w:rPr>
                <w:rFonts w:eastAsia="Arial Unicode MS"/>
                <w:sz w:val="20"/>
              </w:rPr>
              <w:t>Warnleuchten nach § 53 a Abs. 1 + 3 StVZO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Spurhalteleuchten nach § 51 Abs. 4 StVZO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Fahrradlichtmaschinen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Standbeleuchtung für Fahrräder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right="126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verzögerungsabhängige Schalter für Warnblinkanlage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Kontrollgerät zur Überwachung von Glühlampen</w:t>
            </w:r>
          </w:p>
          <w:p w:rsidR="008B5E46" w:rsidRPr="00F14F7A" w:rsidRDefault="008B5E46" w:rsidP="000F385D">
            <w:pPr>
              <w:spacing w:before="20" w:after="20"/>
              <w:rPr>
                <w:rFonts w:eastAsia="Arial Unicode MS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0E" w:rsidRPr="00F14F7A" w:rsidRDefault="00AF2C0E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cs="Times New Roman"/>
                <w:b/>
                <w:sz w:val="20"/>
              </w:rPr>
              <w:t>Festigkeitsprüfungen/ Fahrzeugverbindende Einrichtungen (07)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Türen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552" w:hanging="552"/>
              <w:rPr>
                <w:sz w:val="20"/>
              </w:rPr>
            </w:pPr>
            <w:r w:rsidRPr="00F14F7A">
              <w:rPr>
                <w:sz w:val="20"/>
              </w:rPr>
              <w:t>Verbindungseinrichtungen, Stützlast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Festigkeit KOM, Überrollstabilität N/O Fz.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Sonderlenker (Bauteil)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Sonderlenkräder (Bauteil)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spacing w:before="20" w:after="20"/>
              <w:rPr>
                <w:rFonts w:eastAsia="Arial Unicode MS"/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C7" w:rsidRPr="00F14F7A" w:rsidRDefault="009C14C7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Abschleppeinrichtung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C7" w:rsidRPr="00F14F7A" w:rsidRDefault="009C14C7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Betriebsfestigkeit Fahrzeuge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sz w:val="20"/>
              </w:rPr>
              <w:t>L</w:t>
            </w:r>
            <w:r w:rsidRPr="00F14F7A">
              <w:rPr>
                <w:rFonts w:eastAsia="Arial Unicode MS"/>
                <w:sz w:val="20"/>
              </w:rPr>
              <w:t>and- und forstwirtschaftliche Fahrzeuge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  <w:r w:rsidRPr="006C7692">
              <w:rPr>
                <w:rFonts w:eastAsia="Arial Unicode MS"/>
                <w:b/>
                <w:sz w:val="20"/>
              </w:rPr>
              <w:t>Elektrik/Elektronik (08)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Elektromagnetische Verträglichkeit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sz w:val="20"/>
              </w:rPr>
            </w:pPr>
            <w:r w:rsidRPr="00F14F7A">
              <w:rPr>
                <w:sz w:val="20"/>
              </w:rPr>
              <w:t>Diebstahlalarmanlage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sz w:val="20"/>
              </w:rPr>
            </w:pPr>
            <w:r w:rsidRPr="00F14F7A">
              <w:rPr>
                <w:sz w:val="20"/>
              </w:rPr>
              <w:t>Elektronische Wegfahrsperre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Elektrofahrzeuge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Automatische Kommunikationssysteme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rFonts w:eastAsia="Arial Unicode MS"/>
                <w:b/>
                <w:sz w:val="20"/>
              </w:rPr>
              <w:t>Sicht (09)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  <w:r w:rsidRPr="00F14F7A">
              <w:rPr>
                <w:sz w:val="20"/>
              </w:rPr>
              <w:t>Anordnung der Bauteile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Betätigungsraum, Zugänge zum Fahrersitz, Türen und Fenster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Einbau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Entfrostungs- und Trocknungsanlagen für verglaste Flächen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Heizung des Innenraumes von Kraftfahrzeugen und Anhängern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Rückspiegel von zwei-, drei- und vierrädrigen Kraftfahrzeugen, einschließlich Einrichtungen für indirekte Sicht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Rückspiegelanbau am Fahrzeug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Scheibenwischer, Prüfung eines Fahrzeuges hinsichtlich Scheibenwischer/-wascher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Scheinwerferreinigungsanlage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Sicherheitsglasscheiben und Werkstoffe für Windschutz</w:t>
            </w:r>
            <w:r w:rsidR="008B5E46">
              <w:rPr>
                <w:sz w:val="20"/>
              </w:rPr>
              <w:t>-</w:t>
            </w:r>
            <w:r w:rsidR="008B5E46">
              <w:rPr>
                <w:sz w:val="20"/>
              </w:rPr>
              <w:br/>
            </w:r>
            <w:r w:rsidRPr="00F14F7A">
              <w:rPr>
                <w:sz w:val="20"/>
              </w:rPr>
              <w:t>scheiben in zwei-, drei- und vierrädrigen Kfz und -anhängern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Sichtfeld des Fahrers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Spritzschutzsysteme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b/>
                <w:sz w:val="20"/>
              </w:rPr>
              <w:t>Passive Sicherheit (10)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  <w:r w:rsidRPr="00F14F7A">
              <w:rPr>
                <w:sz w:val="20"/>
              </w:rPr>
              <w:t>Austausch - Airbagsysteme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Behälter für flüssigen Kraftstoff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Beifahrer- und Fahrersitz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Brandverhalten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Einbau der Sicherheitsgurte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Fußgängerschutz, Frontschutzsysteme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Halteeinrichtung für Beifahrer von zweirädrigen Kraftfahrzeugen, Fußrasten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Innenausstattung, Anordnung Betätigungseinrichtung, Dach, Schiebedach, Rückenlehne und hinterer Teil des Sitzes, Doppelbedienungseinrichtung in Kfz zur Ausbildung von Bewerbern um eine Fahrerlaubnis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Innenausstattung, Kennzeichnung der Betätigungs</w:t>
            </w:r>
            <w:r w:rsidR="008D31A7">
              <w:rPr>
                <w:sz w:val="20"/>
              </w:rPr>
              <w:t>-</w:t>
            </w:r>
            <w:r w:rsidR="008D31A7">
              <w:rPr>
                <w:sz w:val="20"/>
              </w:rPr>
              <w:br/>
            </w:r>
            <w:r w:rsidRPr="00F14F7A">
              <w:rPr>
                <w:sz w:val="20"/>
              </w:rPr>
              <w:t>einrichtungen, Kontrollleuchten und Anzeiger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Innenausstattung, Sitze, Widerstandsfähigkeit und ihre Verankerung; Kopfstützen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Innenausstattung, Verhalten der Lenkanlage bei Unfallstößen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Insassenschutz bei Frontalaufprall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Insassenschutz bei Heckaufprall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Insassenschutz bei Seitenaufprall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Kopfstützen für Sitze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Schutzhelme und Visiere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Sicherheitsgurte und Haltesysteme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Sicherungseinrichtung gegen unbefugte Benutzung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CF4" w:rsidRPr="00F14F7A" w:rsidRDefault="006D1CF4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  <w:r w:rsidRPr="00F14F7A">
              <w:rPr>
                <w:sz w:val="20"/>
              </w:rPr>
              <w:t>Türverriegelung und Türscharniere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14C7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Verankerung der Sicherheitsgurte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C7" w:rsidRPr="00F14F7A" w:rsidRDefault="009C14C7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b/>
                <w:sz w:val="20"/>
              </w:rPr>
              <w:t>Äußere Sicherheit (11)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  <w:r w:rsidRPr="00F14F7A">
              <w:rPr>
                <w:sz w:val="20"/>
              </w:rPr>
              <w:t>An- und Aufbauteile in Bezug auf lichttechnische Einrichtungen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Einbauprüfung Ausstell- oder Schiebedächer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Gleitschutzeinrichtungen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Prüfung der Installation des Drehzahlreglers, Schutz von Antriebselementen vorstehenden Teilen und Rädern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Seitliche Schutzvorrichtungen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Ständer von zweirädrigen Kraftfahrzeugen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Umsturzschutzvorrichtungen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Unterfahrschutz/Stoßstangen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8D31A7">
            <w:pPr>
              <w:rPr>
                <w:sz w:val="20"/>
              </w:rPr>
            </w:pPr>
            <w:r w:rsidRPr="00F14F7A">
              <w:rPr>
                <w:sz w:val="20"/>
              </w:rPr>
              <w:t>Verdecke/Verkleidungen, Spiegel, Aufbauten für Kräder, Luftleiteinrichtungen (Spoiler)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Vorstehende Außenkanten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912" w:rsidRPr="00F14F7A" w:rsidRDefault="00332912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F14F7A" w:rsidRDefault="00332912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Zapfwellen und ihre Schutzvorrichtung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b/>
                <w:sz w:val="20"/>
              </w:rPr>
              <w:t>Mess- und Kontrollgeräte (12)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tabs>
                <w:tab w:val="left" w:pos="856"/>
              </w:tabs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  <w:r w:rsidRPr="00F14F7A">
              <w:rPr>
                <w:sz w:val="20"/>
              </w:rPr>
              <w:t>EU-Fahrtenschreiber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 xml:space="preserve">Geschwindigkeitsbegrenzer/Höchstgeschwindigkeit Kfz, </w:t>
            </w:r>
            <w:r w:rsidR="008B5E46">
              <w:rPr>
                <w:sz w:val="20"/>
              </w:rPr>
              <w:br/>
            </w:r>
            <w:r w:rsidRPr="00F14F7A">
              <w:rPr>
                <w:sz w:val="20"/>
              </w:rPr>
              <w:t>land- oder forstwirtschaftliche Zugmaschinen, zweirädrige Fahrzeuge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Geschwindigkeitsmessgerät (und Rückwärtsgang)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b/>
                <w:sz w:val="20"/>
              </w:rPr>
              <w:t>Sonstiges (13)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  <w:r w:rsidRPr="00F14F7A">
              <w:rPr>
                <w:sz w:val="20"/>
              </w:rPr>
              <w:t>Sondergeschützte Fahrzeuge - Beschussprüfung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Sondergeschützte Fahrzeuge - Besprengungsprüfung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  <w:r w:rsidRPr="00F14F7A">
              <w:rPr>
                <w:sz w:val="20"/>
              </w:rPr>
              <w:t>Sonstiges gemäß Kennzahlensystem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C7692">
              <w:rPr>
                <w:b/>
                <w:sz w:val="20"/>
              </w:rPr>
              <w:t>Technische Sauberkeit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Technische Sauberkeit – Probenahme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8D31A7" w:rsidP="000F385D">
            <w:pPr>
              <w:spacing w:before="20" w:after="2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Technische Sauberkeit – G</w:t>
            </w:r>
            <w:r w:rsidR="000F385D" w:rsidRPr="00F14F7A">
              <w:rPr>
                <w:rFonts w:eastAsia="Arial Unicode MS"/>
                <w:sz w:val="20"/>
              </w:rPr>
              <w:t>ravimetrische Bestimmung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8D31A7">
            <w:pPr>
              <w:spacing w:before="20" w:after="20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 xml:space="preserve">Technische Sauberkeit – </w:t>
            </w:r>
            <w:r w:rsidR="008D31A7">
              <w:rPr>
                <w:rFonts w:eastAsia="Arial Unicode MS"/>
                <w:sz w:val="20"/>
              </w:rPr>
              <w:t>M</w:t>
            </w:r>
            <w:r w:rsidRPr="00F14F7A">
              <w:rPr>
                <w:rFonts w:eastAsia="Arial Unicode MS"/>
                <w:sz w:val="20"/>
              </w:rPr>
              <w:t>ikroskopische Bestimmung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F08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  <w:r w:rsidRPr="006C7692">
              <w:rPr>
                <w:b/>
                <w:sz w:val="20"/>
              </w:rPr>
              <w:t>Umweltprüfungen / Klimatechnische Einrichtungen an Fahrzeugen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08" w:rsidRPr="00F14F7A" w:rsidRDefault="00ED2F08" w:rsidP="008B69D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Korrosionsprüfungen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5D" w:rsidRPr="00F14F7A" w:rsidRDefault="000F385D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Umweltverhalten Klima / Chemische Einflüsse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F" w:rsidRPr="00F14F7A" w:rsidRDefault="00C2661F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Umweltverhalten mechanischer Schock / Vibrationen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00459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459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04591">
              <w:rPr>
                <w:rFonts w:asciiTheme="minorHAnsi" w:hAnsiTheme="minorHAnsi"/>
                <w:sz w:val="20"/>
              </w:rPr>
            </w:r>
            <w:r w:rsidRPr="00004591">
              <w:rPr>
                <w:rFonts w:asciiTheme="minorHAnsi" w:hAnsiTheme="minorHAnsi"/>
                <w:sz w:val="20"/>
              </w:rPr>
              <w:fldChar w:fldCharType="separate"/>
            </w:r>
            <w:r w:rsidRPr="00004591">
              <w:rPr>
                <w:rFonts w:asciiTheme="minorHAnsi" w:hAnsiTheme="minorHAnsi"/>
                <w:sz w:val="20"/>
              </w:rPr>
              <w:t> </w:t>
            </w:r>
            <w:r w:rsidRPr="00004591">
              <w:rPr>
                <w:rFonts w:asciiTheme="minorHAnsi" w:hAnsiTheme="minorHAnsi"/>
                <w:sz w:val="20"/>
              </w:rPr>
              <w:t> </w:t>
            </w:r>
            <w:r w:rsidRPr="00004591">
              <w:rPr>
                <w:rFonts w:asciiTheme="minorHAnsi" w:hAnsiTheme="minorHAnsi"/>
                <w:sz w:val="20"/>
              </w:rPr>
              <w:t> </w:t>
            </w:r>
            <w:r w:rsidRPr="00004591">
              <w:rPr>
                <w:rFonts w:asciiTheme="minorHAnsi" w:hAnsiTheme="minorHAnsi"/>
                <w:sz w:val="20"/>
              </w:rPr>
              <w:t> </w:t>
            </w:r>
            <w:r w:rsidRPr="00004591">
              <w:rPr>
                <w:rFonts w:asciiTheme="minorHAnsi" w:hAnsiTheme="minorHAnsi"/>
                <w:sz w:val="20"/>
              </w:rPr>
              <w:t> </w:t>
            </w:r>
            <w:r w:rsidRPr="0000459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F" w:rsidRPr="00F14F7A" w:rsidRDefault="00C2661F" w:rsidP="000F385D">
            <w:pPr>
              <w:spacing w:before="20" w:after="20"/>
              <w:ind w:left="552" w:hanging="552"/>
              <w:rPr>
                <w:rFonts w:eastAsia="Arial Unicode MS"/>
                <w:sz w:val="20"/>
              </w:rPr>
            </w:pPr>
            <w:r w:rsidRPr="00F14F7A">
              <w:rPr>
                <w:rFonts w:eastAsia="Arial Unicode MS"/>
                <w:sz w:val="20"/>
              </w:rPr>
              <w:t>Wärmedämmung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2661F" w:rsidRPr="00F14F7A" w:rsidTr="00A15274">
        <w:trPr>
          <w:cantSplit/>
        </w:trPr>
        <w:tc>
          <w:tcPr>
            <w:tcW w:w="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6C7692" w:rsidRDefault="00C2661F" w:rsidP="000F385D">
            <w:pPr>
              <w:rPr>
                <w:b/>
                <w:sz w:val="20"/>
              </w:rPr>
            </w:pPr>
            <w:r w:rsidRPr="006C7692">
              <w:rPr>
                <w:b/>
                <w:sz w:val="20"/>
              </w:rPr>
              <w:t>Funktionale Sicherheit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F" w:rsidRPr="00F14F7A" w:rsidRDefault="00C2661F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385D" w:rsidRPr="00F14F7A" w:rsidTr="00A15274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cs="Times New Roman"/>
                <w:sz w:val="20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6C7692" w:rsidRDefault="000F385D" w:rsidP="000F385D">
            <w:pPr>
              <w:rPr>
                <w:b/>
                <w:sz w:val="20"/>
              </w:rPr>
            </w:pPr>
            <w:r w:rsidRPr="006C7692">
              <w:rPr>
                <w:b/>
                <w:sz w:val="20"/>
              </w:rPr>
              <w:t>Cybersicherheit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F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15274">
              <w:rPr>
                <w:rFonts w:asciiTheme="minorHAnsi" w:hAnsiTheme="minorHAnsi"/>
                <w:sz w:val="20"/>
                <w:lang w:val="en-GB"/>
              </w:rPr>
            </w:r>
            <w:r w:rsidR="00A1527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4F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5D" w:rsidRPr="00F14F7A" w:rsidRDefault="000F385D" w:rsidP="000F385D">
            <w:pPr>
              <w:rPr>
                <w:rFonts w:asciiTheme="minorHAnsi" w:hAnsiTheme="minorHAnsi"/>
                <w:sz w:val="20"/>
              </w:rPr>
            </w:pPr>
            <w:r w:rsidRPr="00F14F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4F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4F7A">
              <w:rPr>
                <w:rFonts w:asciiTheme="minorHAnsi" w:hAnsiTheme="minorHAnsi"/>
                <w:sz w:val="20"/>
              </w:rPr>
            </w:r>
            <w:r w:rsidRPr="00F14F7A">
              <w:rPr>
                <w:rFonts w:asciiTheme="minorHAnsi" w:hAnsiTheme="minorHAnsi"/>
                <w:sz w:val="20"/>
              </w:rPr>
              <w:fldChar w:fldCharType="separate"/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noProof/>
                <w:sz w:val="20"/>
              </w:rPr>
              <w:t> </w:t>
            </w:r>
            <w:r w:rsidRPr="00F14F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8C0162" w:rsidRPr="00611D1C" w:rsidRDefault="008C0162" w:rsidP="00D83D86">
      <w:pPr>
        <w:keepNext/>
        <w:spacing w:before="240" w:after="12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8C0162" w:rsidRDefault="008C0162" w:rsidP="008C0162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8C0162" w:rsidRPr="00DD4219" w:rsidRDefault="008C0162" w:rsidP="008C0162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C2661F" w:rsidRPr="00051454" w:rsidRDefault="00C2661F" w:rsidP="00C2661F">
      <w:pPr>
        <w:keepNext/>
        <w:rPr>
          <w:rFonts w:eastAsia="Arial Unicode MS"/>
          <w:szCs w:val="22"/>
        </w:rPr>
      </w:pPr>
    </w:p>
    <w:tbl>
      <w:tblPr>
        <w:tblW w:w="8945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67"/>
        <w:gridCol w:w="4395"/>
      </w:tblGrid>
      <w:tr w:rsidR="00C2661F" w:rsidRPr="00051454" w:rsidTr="00E52D29">
        <w:trPr>
          <w:cantSplit/>
          <w:trHeight w:val="306"/>
        </w:trPr>
        <w:tc>
          <w:tcPr>
            <w:tcW w:w="3983" w:type="dxa"/>
            <w:tcBorders>
              <w:top w:val="nil"/>
              <w:bottom w:val="single" w:sz="4" w:space="0" w:color="auto"/>
            </w:tcBorders>
          </w:tcPr>
          <w:p w:rsidR="00C2661F" w:rsidRPr="00051454" w:rsidRDefault="00C2661F" w:rsidP="00AD2750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661F" w:rsidRPr="00051454" w:rsidRDefault="00C2661F" w:rsidP="00AD2750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2661F" w:rsidRPr="00051454" w:rsidRDefault="00C2661F" w:rsidP="00AD2750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C2661F" w:rsidRPr="00051454" w:rsidTr="00E52D29">
        <w:trPr>
          <w:cantSplit/>
          <w:trHeight w:val="306"/>
        </w:trPr>
        <w:tc>
          <w:tcPr>
            <w:tcW w:w="3983" w:type="dxa"/>
            <w:tcBorders>
              <w:top w:val="single" w:sz="4" w:space="0" w:color="auto"/>
              <w:bottom w:val="nil"/>
            </w:tcBorders>
          </w:tcPr>
          <w:p w:rsidR="00C2661F" w:rsidRPr="00051454" w:rsidRDefault="00C2661F" w:rsidP="00AD2750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661F" w:rsidRPr="00051454" w:rsidRDefault="00C2661F" w:rsidP="00AD2750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C2661F" w:rsidRPr="00051454" w:rsidRDefault="00C2661F" w:rsidP="00E52D29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E52D29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906428" w:rsidRDefault="00906428" w:rsidP="00906428">
      <w:pPr>
        <w:jc w:val="both"/>
        <w:rPr>
          <w:szCs w:val="22"/>
        </w:rPr>
      </w:pPr>
    </w:p>
    <w:p w:rsidR="00C2661F" w:rsidRPr="00051454" w:rsidRDefault="00C2661F" w:rsidP="00D83D86">
      <w:pPr>
        <w:keepNext/>
        <w:spacing w:before="240" w:after="120"/>
        <w:jc w:val="both"/>
        <w:rPr>
          <w:szCs w:val="22"/>
        </w:rPr>
      </w:pPr>
      <w:r w:rsidRPr="00051454">
        <w:rPr>
          <w:szCs w:val="22"/>
        </w:rPr>
        <w:lastRenderedPageBreak/>
        <w:t xml:space="preserve">Zustimmung durch </w:t>
      </w:r>
      <w:r w:rsidR="00E52D29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E52D29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E52D29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96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C2661F" w:rsidRPr="00051454" w:rsidTr="00E52D29">
        <w:trPr>
          <w:cantSplit/>
          <w:trHeight w:val="964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2661F" w:rsidRPr="00051454" w:rsidRDefault="00C2661F" w:rsidP="008B69D2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C2661F" w:rsidRPr="00051454" w:rsidTr="00E52D29">
        <w:trPr>
          <w:cantSplit/>
          <w:trHeight w:val="306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2661F" w:rsidRPr="00051454" w:rsidRDefault="00C2661F" w:rsidP="008B69D2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E52D29">
              <w:rPr>
                <w:b/>
                <w:bCs/>
                <w:szCs w:val="22"/>
              </w:rPr>
              <w:t>L</w:t>
            </w:r>
            <w:r w:rsidR="00E52D29" w:rsidRPr="00E52D29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C2661F" w:rsidRPr="00AD2750" w:rsidRDefault="00C2661F" w:rsidP="00AD2750">
      <w:pPr>
        <w:keepNext/>
        <w:rPr>
          <w:rFonts w:eastAsia="Arial Unicode MS"/>
          <w:szCs w:val="22"/>
        </w:rPr>
      </w:pPr>
    </w:p>
    <w:p w:rsidR="002863EA" w:rsidRPr="005B1599" w:rsidRDefault="002863EA" w:rsidP="006A0828">
      <w:pPr>
        <w:pStyle w:val="Endnotentext"/>
        <w:rPr>
          <w:sz w:val="2"/>
          <w:szCs w:val="2"/>
        </w:rPr>
      </w:pPr>
    </w:p>
    <w:sectPr w:rsidR="002863EA" w:rsidRPr="005B1599" w:rsidSect="00D83D86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1134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F4" w:rsidRDefault="006D1CF4">
      <w:r>
        <w:separator/>
      </w:r>
    </w:p>
  </w:endnote>
  <w:endnote w:type="continuationSeparator" w:id="0">
    <w:p w:rsidR="006D1CF4" w:rsidRDefault="006D1CF4">
      <w:r>
        <w:continuationSeparator/>
      </w:r>
    </w:p>
  </w:endnote>
  <w:endnote w:id="1">
    <w:p w:rsidR="006D1CF4" w:rsidRPr="00E52D29" w:rsidRDefault="006D1CF4" w:rsidP="006A0828">
      <w:pPr>
        <w:pStyle w:val="Endnotentext"/>
        <w:spacing w:after="60"/>
        <w:ind w:left="142" w:hanging="142"/>
        <w:rPr>
          <w:sz w:val="18"/>
          <w:szCs w:val="18"/>
        </w:rPr>
      </w:pPr>
      <w:r w:rsidRPr="00E52D29">
        <w:rPr>
          <w:rStyle w:val="Endnotenzeichen"/>
          <w:sz w:val="18"/>
          <w:szCs w:val="18"/>
        </w:rPr>
        <w:endnoteRef/>
      </w:r>
      <w:r w:rsidR="00D83D86">
        <w:rPr>
          <w:sz w:val="18"/>
          <w:szCs w:val="18"/>
        </w:rPr>
        <w:t xml:space="preserve"> </w:t>
      </w:r>
      <w:r w:rsidRPr="00E52D29">
        <w:rPr>
          <w:sz w:val="18"/>
          <w:szCs w:val="18"/>
        </w:rPr>
        <w:t>Bereiche der Konformitätsbewertungsaktivitäten der DAkkS:</w:t>
      </w:r>
    </w:p>
    <w:tbl>
      <w:tblPr>
        <w:tblW w:w="14906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2835"/>
        <w:gridCol w:w="315"/>
        <w:gridCol w:w="1035"/>
        <w:gridCol w:w="2494"/>
        <w:gridCol w:w="300"/>
        <w:gridCol w:w="1040"/>
        <w:gridCol w:w="5652"/>
      </w:tblGrid>
      <w:tr w:rsidR="006D1CF4" w:rsidRPr="00E52D29" w:rsidTr="00AD2750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6D1CF4" w:rsidRPr="00E52D29" w:rsidRDefault="006D1CF4" w:rsidP="00AD275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E52D29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945" w:type="dxa"/>
          </w:tcPr>
          <w:p w:rsidR="006D1CF4" w:rsidRPr="00E52D29" w:rsidRDefault="006D1CF4" w:rsidP="006A0828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E52D29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835" w:type="dxa"/>
            <w:shd w:val="clear" w:color="auto" w:fill="auto"/>
          </w:tcPr>
          <w:p w:rsidR="006D1CF4" w:rsidRPr="00E52D29" w:rsidRDefault="006D1CF4" w:rsidP="00AD275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E52D29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315" w:type="dxa"/>
            <w:shd w:val="clear" w:color="auto" w:fill="auto"/>
          </w:tcPr>
          <w:p w:rsidR="006D1CF4" w:rsidRPr="00E52D29" w:rsidRDefault="006D1CF4" w:rsidP="00AD275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E52D29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1035" w:type="dxa"/>
          </w:tcPr>
          <w:p w:rsidR="006D1CF4" w:rsidRPr="00E52D29" w:rsidRDefault="006D1CF4" w:rsidP="006A0828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E52D29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494" w:type="dxa"/>
            <w:shd w:val="clear" w:color="auto" w:fill="auto"/>
          </w:tcPr>
          <w:p w:rsidR="006D1CF4" w:rsidRPr="00E52D29" w:rsidRDefault="006D1CF4" w:rsidP="00AD275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E52D29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300" w:type="dxa"/>
            <w:shd w:val="clear" w:color="auto" w:fill="auto"/>
          </w:tcPr>
          <w:p w:rsidR="006D1CF4" w:rsidRPr="00E52D29" w:rsidRDefault="006D1CF4" w:rsidP="00AD2750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E52D29"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1040" w:type="dxa"/>
          </w:tcPr>
          <w:p w:rsidR="006D1CF4" w:rsidRPr="00E52D29" w:rsidRDefault="006D1CF4" w:rsidP="006A0828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E52D29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652" w:type="dxa"/>
            <w:shd w:val="clear" w:color="auto" w:fill="auto"/>
          </w:tcPr>
          <w:p w:rsidR="006D1CF4" w:rsidRPr="00E52D29" w:rsidRDefault="006D1CF4" w:rsidP="00AD275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E52D29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</w:tr>
      <w:tr w:rsidR="006D1CF4" w:rsidRPr="00E52D29" w:rsidTr="006A0828">
        <w:trPr>
          <w:trHeight w:val="264"/>
        </w:trPr>
        <w:tc>
          <w:tcPr>
            <w:tcW w:w="14906" w:type="dxa"/>
            <w:gridSpan w:val="9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6D1CF4" w:rsidRPr="00E52D29" w:rsidRDefault="006D1CF4" w:rsidP="008B69D2">
            <w:pPr>
              <w:pStyle w:val="Funotentext"/>
              <w:spacing w:before="60" w:after="60"/>
              <w:rPr>
                <w:i/>
                <w:iCs/>
                <w:sz w:val="18"/>
                <w:szCs w:val="18"/>
                <w:u w:val="single"/>
              </w:rPr>
            </w:pPr>
            <w:r w:rsidRPr="008B69D2">
              <w:rPr>
                <w:b/>
                <w:sz w:val="22"/>
                <w:szCs w:val="22"/>
                <w:vertAlign w:val="superscript"/>
              </w:rPr>
              <w:t>A</w:t>
            </w:r>
            <w:r w:rsidRPr="00E52D29">
              <w:rPr>
                <w:sz w:val="18"/>
                <w:szCs w:val="18"/>
                <w:vertAlign w:val="superscript"/>
              </w:rPr>
              <w:t xml:space="preserve"> </w:t>
            </w:r>
            <w:r w:rsidRPr="00E52D29">
              <w:rPr>
                <w:sz w:val="18"/>
                <w:szCs w:val="18"/>
                <w:u w:val="single"/>
              </w:rPr>
              <w:t>Ausführlich</w:t>
            </w:r>
            <w:r w:rsidRPr="00E52D29">
              <w:rPr>
                <w:sz w:val="18"/>
                <w:szCs w:val="18"/>
              </w:rPr>
              <w:t xml:space="preserve">: Prüfung von Fahrzeugen, Systemen, selbstständigen technischen Einheiten oder Fahrzeugteilen, vgl. Merkblatt </w:t>
            </w:r>
            <w:r w:rsidRPr="00E52D29">
              <w:rPr>
                <w:b/>
                <w:bCs/>
                <w:sz w:val="18"/>
                <w:szCs w:val="18"/>
              </w:rPr>
              <w:t>71 SD 1 007</w:t>
            </w:r>
            <w:r w:rsidRPr="00E52D29" w:rsidDel="00724203">
              <w:rPr>
                <w:sz w:val="18"/>
                <w:szCs w:val="18"/>
              </w:rPr>
              <w:t xml:space="preserve"> </w:t>
            </w:r>
            <w:r w:rsidRPr="00E52D29">
              <w:rPr>
                <w:sz w:val="18"/>
                <w:szCs w:val="18"/>
              </w:rPr>
              <w:t>; Basis: KBA-Kennzahlensystem, Stand 23.02.2012</w:t>
            </w:r>
          </w:p>
        </w:tc>
      </w:tr>
    </w:tbl>
    <w:p w:rsidR="006D1CF4" w:rsidRPr="00E52D29" w:rsidRDefault="006D1CF4" w:rsidP="006A0828">
      <w:pPr>
        <w:pStyle w:val="Endnotentext"/>
        <w:rPr>
          <w:sz w:val="18"/>
          <w:szCs w:val="18"/>
        </w:rPr>
      </w:pPr>
    </w:p>
  </w:endnote>
  <w:endnote w:id="2">
    <w:p w:rsidR="00E52D29" w:rsidRPr="00E52D29" w:rsidRDefault="00E52D29">
      <w:pPr>
        <w:pStyle w:val="Endnotentext"/>
        <w:rPr>
          <w:sz w:val="18"/>
          <w:szCs w:val="18"/>
        </w:rPr>
      </w:pPr>
      <w:r w:rsidRPr="00E52D29">
        <w:rPr>
          <w:rStyle w:val="Endnotenzeichen"/>
          <w:sz w:val="18"/>
          <w:szCs w:val="18"/>
        </w:rPr>
        <w:endnoteRef/>
      </w:r>
      <w:r w:rsidRPr="00E52D29">
        <w:rPr>
          <w:sz w:val="18"/>
          <w:szCs w:val="18"/>
        </w:rPr>
        <w:t xml:space="preserve"> </w:t>
      </w:r>
      <w:r w:rsidRPr="00E52D29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F4" w:rsidRPr="00357D48" w:rsidRDefault="006D1CF4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6D1CF4" w:rsidRDefault="006D1CF4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6D1CF4" w:rsidRDefault="006D1C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F4" w:rsidRDefault="006D1CF4">
      <w:r>
        <w:separator/>
      </w:r>
    </w:p>
  </w:footnote>
  <w:footnote w:type="continuationSeparator" w:id="0">
    <w:p w:rsidR="006D1CF4" w:rsidRDefault="006D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6D1CF4" w:rsidRPr="004E27C4" w:rsidTr="00AD2750">
      <w:trPr>
        <w:cantSplit/>
      </w:trPr>
      <w:tc>
        <w:tcPr>
          <w:tcW w:w="2268" w:type="dxa"/>
          <w:vMerge w:val="restart"/>
          <w:vAlign w:val="center"/>
        </w:tcPr>
        <w:p w:rsidR="006D1CF4" w:rsidRPr="006B07B0" w:rsidRDefault="006D1CF4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6D1CF4" w:rsidRPr="007B21CA" w:rsidRDefault="006D1CF4" w:rsidP="008D31A7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 xml:space="preserve">Benennungsumfang für Begutachter/Fachexperten im </w:t>
          </w:r>
          <w:r w:rsidRPr="007B21CA">
            <w:rPr>
              <w:b/>
            </w:rPr>
            <w:t>Fachbereich</w:t>
          </w:r>
          <w:r w:rsidRPr="00C60BD9">
            <w:rPr>
              <w:b/>
            </w:rPr>
            <w:t xml:space="preserve"> </w:t>
          </w:r>
          <w:r w:rsidR="008D31A7">
            <w:rPr>
              <w:b/>
            </w:rPr>
            <w:br/>
          </w:r>
          <w:r w:rsidRPr="00C60BD9">
            <w:rPr>
              <w:b/>
            </w:rPr>
            <w:t>Kraftfahrwesen und Straßenverkehr, Teilbereich Prüfung von Fahrzeugen und deren Teilen</w:t>
          </w:r>
          <w:r>
            <w:rPr>
              <w:b/>
            </w:rPr>
            <w:t xml:space="preserve"> </w:t>
          </w:r>
          <w:r w:rsidRPr="00C60BD9">
            <w:rPr>
              <w:b/>
              <w:vertAlign w:val="superscript"/>
            </w:rPr>
            <w:t>A</w:t>
          </w:r>
        </w:p>
      </w:tc>
      <w:tc>
        <w:tcPr>
          <w:tcW w:w="2348" w:type="dxa"/>
          <w:gridSpan w:val="2"/>
        </w:tcPr>
        <w:p w:rsidR="006D1CF4" w:rsidRPr="008B5E46" w:rsidRDefault="006D1CF4" w:rsidP="008C0E6A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FO-BU-</w:t>
          </w:r>
          <w:r w:rsidRPr="008B5E46">
            <w:rPr>
              <w:rFonts w:ascii="Calibri" w:hAnsi="Calibri" w:cs="Arial"/>
              <w:b/>
              <w:sz w:val="18"/>
              <w:szCs w:val="18"/>
            </w:rPr>
            <w:t>004</w:t>
          </w:r>
        </w:p>
      </w:tc>
    </w:tr>
    <w:tr w:rsidR="006D1CF4" w:rsidRPr="004E27C4" w:rsidTr="00AD275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6D1CF4" w:rsidRPr="008B5E46" w:rsidRDefault="006D1CF4" w:rsidP="004F44D6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8B5E46">
            <w:rPr>
              <w:rFonts w:ascii="Calibri" w:hAnsi="Calibri" w:cs="Arial"/>
              <w:bCs/>
              <w:sz w:val="16"/>
            </w:rPr>
            <w:t>1.</w:t>
          </w:r>
          <w:r w:rsidR="00A15274">
            <w:rPr>
              <w:rFonts w:ascii="Calibri" w:hAnsi="Calibri" w:cs="Arial"/>
              <w:bCs/>
              <w:sz w:val="16"/>
            </w:rPr>
            <w:t>2</w:t>
          </w:r>
        </w:p>
      </w:tc>
    </w:tr>
    <w:tr w:rsidR="006D1CF4" w:rsidRPr="00732443" w:rsidTr="00AD275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D1CF4" w:rsidRPr="00BE14FC" w:rsidRDefault="006D1CF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6D1CF4" w:rsidRPr="008B5E46" w:rsidRDefault="00A15274" w:rsidP="008B5E46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01.08.2023</w:t>
          </w:r>
        </w:p>
      </w:tc>
    </w:tr>
    <w:tr w:rsidR="006D1CF4" w:rsidRPr="004E27C4" w:rsidTr="00AD275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A15274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A15274">
            <w:rPr>
              <w:rStyle w:val="Seitenzahl"/>
              <w:rFonts w:ascii="Calibri" w:hAnsi="Calibri" w:cs="Arial"/>
              <w:noProof/>
              <w:sz w:val="16"/>
              <w:szCs w:val="16"/>
            </w:rPr>
            <w:t>11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6D1CF4" w:rsidRPr="000F385D" w:rsidRDefault="006D1CF4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6D1CF4" w:rsidRPr="004E27C4">
      <w:trPr>
        <w:cantSplit/>
      </w:trPr>
      <w:tc>
        <w:tcPr>
          <w:tcW w:w="2770" w:type="dxa"/>
          <w:vMerge w:val="restart"/>
          <w:vAlign w:val="center"/>
        </w:tcPr>
        <w:p w:rsidR="006D1CF4" w:rsidRPr="006B07B0" w:rsidRDefault="006D1CF4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8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6D1CF4" w:rsidRPr="004E27C4" w:rsidRDefault="006D1CF4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6D1CF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6D1CF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6D1CF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6D1CF4" w:rsidRPr="006B07B0" w:rsidRDefault="006D1CF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6D1CF4" w:rsidRPr="006B07B0" w:rsidRDefault="006D1CF4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6D1CF4" w:rsidRPr="004E27C4" w:rsidRDefault="006D1C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brX8yxqKEOXFY9fHjOOUeOUPUZYZ3rNUiOX4HVtolT/C9T8nrd4q0noQZRX80splaoT41UPjuPcpF9vCc7XQCA==" w:salt="ZSJnr1IjsiDVuv7mz7QDB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4591"/>
    <w:rsid w:val="000054DE"/>
    <w:rsid w:val="00013237"/>
    <w:rsid w:val="00027AA9"/>
    <w:rsid w:val="00030134"/>
    <w:rsid w:val="00032054"/>
    <w:rsid w:val="00033E0C"/>
    <w:rsid w:val="000466A1"/>
    <w:rsid w:val="000A3751"/>
    <w:rsid w:val="000B10F2"/>
    <w:rsid w:val="000C0851"/>
    <w:rsid w:val="000C492D"/>
    <w:rsid w:val="000F385D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86218"/>
    <w:rsid w:val="001901E8"/>
    <w:rsid w:val="00191A76"/>
    <w:rsid w:val="001B55B1"/>
    <w:rsid w:val="001E1014"/>
    <w:rsid w:val="001F2026"/>
    <w:rsid w:val="0020242D"/>
    <w:rsid w:val="002062C1"/>
    <w:rsid w:val="002259EC"/>
    <w:rsid w:val="00233C9B"/>
    <w:rsid w:val="00235E1D"/>
    <w:rsid w:val="00243363"/>
    <w:rsid w:val="00243E20"/>
    <w:rsid w:val="00252E43"/>
    <w:rsid w:val="002609C5"/>
    <w:rsid w:val="00263D14"/>
    <w:rsid w:val="00265D5E"/>
    <w:rsid w:val="00267865"/>
    <w:rsid w:val="0027351C"/>
    <w:rsid w:val="002863EA"/>
    <w:rsid w:val="00291DCB"/>
    <w:rsid w:val="002A3FE9"/>
    <w:rsid w:val="002D2666"/>
    <w:rsid w:val="002D7ECA"/>
    <w:rsid w:val="002E1C85"/>
    <w:rsid w:val="002F7679"/>
    <w:rsid w:val="003173F2"/>
    <w:rsid w:val="003274C9"/>
    <w:rsid w:val="003306B1"/>
    <w:rsid w:val="00332912"/>
    <w:rsid w:val="00340C9F"/>
    <w:rsid w:val="00341397"/>
    <w:rsid w:val="0034313B"/>
    <w:rsid w:val="00353812"/>
    <w:rsid w:val="00364DA3"/>
    <w:rsid w:val="0036609A"/>
    <w:rsid w:val="00367E10"/>
    <w:rsid w:val="00370480"/>
    <w:rsid w:val="00372542"/>
    <w:rsid w:val="00383BC1"/>
    <w:rsid w:val="0038519A"/>
    <w:rsid w:val="003A0680"/>
    <w:rsid w:val="003B02F8"/>
    <w:rsid w:val="003B3B59"/>
    <w:rsid w:val="003B58BC"/>
    <w:rsid w:val="003D092D"/>
    <w:rsid w:val="003F5518"/>
    <w:rsid w:val="003F7E38"/>
    <w:rsid w:val="004043E3"/>
    <w:rsid w:val="00412731"/>
    <w:rsid w:val="004135ED"/>
    <w:rsid w:val="00416A9F"/>
    <w:rsid w:val="004229BB"/>
    <w:rsid w:val="00452614"/>
    <w:rsid w:val="00455C0E"/>
    <w:rsid w:val="00477CC4"/>
    <w:rsid w:val="00494F3F"/>
    <w:rsid w:val="004A489B"/>
    <w:rsid w:val="004B0DA1"/>
    <w:rsid w:val="004C2E11"/>
    <w:rsid w:val="004C34A2"/>
    <w:rsid w:val="004D2C96"/>
    <w:rsid w:val="004F44D6"/>
    <w:rsid w:val="005004E8"/>
    <w:rsid w:val="005035F7"/>
    <w:rsid w:val="00524C79"/>
    <w:rsid w:val="00527BB2"/>
    <w:rsid w:val="00542747"/>
    <w:rsid w:val="0056070E"/>
    <w:rsid w:val="00572BE3"/>
    <w:rsid w:val="005A73FB"/>
    <w:rsid w:val="005B1042"/>
    <w:rsid w:val="005B1599"/>
    <w:rsid w:val="005B42D4"/>
    <w:rsid w:val="005C4230"/>
    <w:rsid w:val="005C6591"/>
    <w:rsid w:val="005D4805"/>
    <w:rsid w:val="005E263E"/>
    <w:rsid w:val="005E55AB"/>
    <w:rsid w:val="005E6303"/>
    <w:rsid w:val="005F4F21"/>
    <w:rsid w:val="00617E07"/>
    <w:rsid w:val="006550F7"/>
    <w:rsid w:val="0066781A"/>
    <w:rsid w:val="00673703"/>
    <w:rsid w:val="00680B8D"/>
    <w:rsid w:val="00685B18"/>
    <w:rsid w:val="00697D58"/>
    <w:rsid w:val="006A0828"/>
    <w:rsid w:val="006A13E1"/>
    <w:rsid w:val="006B07B0"/>
    <w:rsid w:val="006B1D28"/>
    <w:rsid w:val="006C7692"/>
    <w:rsid w:val="006D1CF4"/>
    <w:rsid w:val="006D22FB"/>
    <w:rsid w:val="006D636D"/>
    <w:rsid w:val="006D790D"/>
    <w:rsid w:val="006E0A03"/>
    <w:rsid w:val="006E29B1"/>
    <w:rsid w:val="006F76EF"/>
    <w:rsid w:val="007063A5"/>
    <w:rsid w:val="007113D0"/>
    <w:rsid w:val="00716DFA"/>
    <w:rsid w:val="00717FEE"/>
    <w:rsid w:val="007207CD"/>
    <w:rsid w:val="00732443"/>
    <w:rsid w:val="00732697"/>
    <w:rsid w:val="007532A4"/>
    <w:rsid w:val="00754EF3"/>
    <w:rsid w:val="0077600A"/>
    <w:rsid w:val="00781D94"/>
    <w:rsid w:val="00783637"/>
    <w:rsid w:val="0079080A"/>
    <w:rsid w:val="007925E4"/>
    <w:rsid w:val="0079348C"/>
    <w:rsid w:val="00796F47"/>
    <w:rsid w:val="007A72F7"/>
    <w:rsid w:val="007B21CA"/>
    <w:rsid w:val="007C3387"/>
    <w:rsid w:val="007D0494"/>
    <w:rsid w:val="007D2CA1"/>
    <w:rsid w:val="007D4924"/>
    <w:rsid w:val="007E7846"/>
    <w:rsid w:val="007F446F"/>
    <w:rsid w:val="00801A55"/>
    <w:rsid w:val="0080213A"/>
    <w:rsid w:val="008036F7"/>
    <w:rsid w:val="008045D1"/>
    <w:rsid w:val="00805C93"/>
    <w:rsid w:val="0080616B"/>
    <w:rsid w:val="008132EE"/>
    <w:rsid w:val="0081612B"/>
    <w:rsid w:val="00824FE9"/>
    <w:rsid w:val="00825849"/>
    <w:rsid w:val="00846D1F"/>
    <w:rsid w:val="00861774"/>
    <w:rsid w:val="00861AB4"/>
    <w:rsid w:val="00862841"/>
    <w:rsid w:val="00863997"/>
    <w:rsid w:val="00891429"/>
    <w:rsid w:val="00894099"/>
    <w:rsid w:val="0089678F"/>
    <w:rsid w:val="008B109F"/>
    <w:rsid w:val="008B5E46"/>
    <w:rsid w:val="008B69D2"/>
    <w:rsid w:val="008C0162"/>
    <w:rsid w:val="008C0E6A"/>
    <w:rsid w:val="008C25D0"/>
    <w:rsid w:val="008C40FC"/>
    <w:rsid w:val="008D0BFC"/>
    <w:rsid w:val="008D31A7"/>
    <w:rsid w:val="008D325A"/>
    <w:rsid w:val="008E0417"/>
    <w:rsid w:val="008E1AF8"/>
    <w:rsid w:val="008F491F"/>
    <w:rsid w:val="00906428"/>
    <w:rsid w:val="00920265"/>
    <w:rsid w:val="00926C17"/>
    <w:rsid w:val="009415D4"/>
    <w:rsid w:val="00947CF3"/>
    <w:rsid w:val="009524A1"/>
    <w:rsid w:val="00953EBB"/>
    <w:rsid w:val="00976681"/>
    <w:rsid w:val="00991AC2"/>
    <w:rsid w:val="009952F3"/>
    <w:rsid w:val="009B0F6E"/>
    <w:rsid w:val="009B2725"/>
    <w:rsid w:val="009C14C7"/>
    <w:rsid w:val="009C7EFE"/>
    <w:rsid w:val="009F2C1F"/>
    <w:rsid w:val="00A10568"/>
    <w:rsid w:val="00A122FC"/>
    <w:rsid w:val="00A12559"/>
    <w:rsid w:val="00A15274"/>
    <w:rsid w:val="00A23A28"/>
    <w:rsid w:val="00A261F7"/>
    <w:rsid w:val="00A34206"/>
    <w:rsid w:val="00A40EC1"/>
    <w:rsid w:val="00A43D8C"/>
    <w:rsid w:val="00A61B8B"/>
    <w:rsid w:val="00A723DA"/>
    <w:rsid w:val="00AA0476"/>
    <w:rsid w:val="00AA0A35"/>
    <w:rsid w:val="00AA182E"/>
    <w:rsid w:val="00AA5064"/>
    <w:rsid w:val="00AA7136"/>
    <w:rsid w:val="00AB0F6E"/>
    <w:rsid w:val="00AB46CB"/>
    <w:rsid w:val="00AC1B2B"/>
    <w:rsid w:val="00AD2750"/>
    <w:rsid w:val="00AE4FF9"/>
    <w:rsid w:val="00AE690A"/>
    <w:rsid w:val="00AF2C0E"/>
    <w:rsid w:val="00B1618B"/>
    <w:rsid w:val="00B50323"/>
    <w:rsid w:val="00B5106E"/>
    <w:rsid w:val="00B51096"/>
    <w:rsid w:val="00B63A58"/>
    <w:rsid w:val="00B74452"/>
    <w:rsid w:val="00B84EBA"/>
    <w:rsid w:val="00B905B9"/>
    <w:rsid w:val="00B91EDC"/>
    <w:rsid w:val="00BA6038"/>
    <w:rsid w:val="00BB534E"/>
    <w:rsid w:val="00BD1A15"/>
    <w:rsid w:val="00BE14FC"/>
    <w:rsid w:val="00C0353C"/>
    <w:rsid w:val="00C14055"/>
    <w:rsid w:val="00C21D62"/>
    <w:rsid w:val="00C2389A"/>
    <w:rsid w:val="00C2661F"/>
    <w:rsid w:val="00C31A94"/>
    <w:rsid w:val="00C439C8"/>
    <w:rsid w:val="00C532E5"/>
    <w:rsid w:val="00C60BD9"/>
    <w:rsid w:val="00C63AC8"/>
    <w:rsid w:val="00C746BA"/>
    <w:rsid w:val="00C83C31"/>
    <w:rsid w:val="00C954B2"/>
    <w:rsid w:val="00CB0EBB"/>
    <w:rsid w:val="00CB525E"/>
    <w:rsid w:val="00CC5B0D"/>
    <w:rsid w:val="00CD0463"/>
    <w:rsid w:val="00CE29C2"/>
    <w:rsid w:val="00CE5276"/>
    <w:rsid w:val="00CF08A1"/>
    <w:rsid w:val="00CF5615"/>
    <w:rsid w:val="00D053D7"/>
    <w:rsid w:val="00D0565D"/>
    <w:rsid w:val="00D05F08"/>
    <w:rsid w:val="00D06220"/>
    <w:rsid w:val="00D16145"/>
    <w:rsid w:val="00D36395"/>
    <w:rsid w:val="00D41549"/>
    <w:rsid w:val="00D43E5F"/>
    <w:rsid w:val="00D708B4"/>
    <w:rsid w:val="00D7110D"/>
    <w:rsid w:val="00D75637"/>
    <w:rsid w:val="00D83D86"/>
    <w:rsid w:val="00D94D1B"/>
    <w:rsid w:val="00DA117D"/>
    <w:rsid w:val="00DA6F1A"/>
    <w:rsid w:val="00DA7B9A"/>
    <w:rsid w:val="00DC3B97"/>
    <w:rsid w:val="00DE43DB"/>
    <w:rsid w:val="00E167E3"/>
    <w:rsid w:val="00E16AAA"/>
    <w:rsid w:val="00E24FA1"/>
    <w:rsid w:val="00E26211"/>
    <w:rsid w:val="00E306D0"/>
    <w:rsid w:val="00E31980"/>
    <w:rsid w:val="00E35932"/>
    <w:rsid w:val="00E40179"/>
    <w:rsid w:val="00E43A92"/>
    <w:rsid w:val="00E458A1"/>
    <w:rsid w:val="00E505B9"/>
    <w:rsid w:val="00E52793"/>
    <w:rsid w:val="00E5289F"/>
    <w:rsid w:val="00E52D29"/>
    <w:rsid w:val="00E55763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D2F08"/>
    <w:rsid w:val="00EE15D1"/>
    <w:rsid w:val="00EE7722"/>
    <w:rsid w:val="00EF0CD2"/>
    <w:rsid w:val="00F10702"/>
    <w:rsid w:val="00F14F7A"/>
    <w:rsid w:val="00F267AC"/>
    <w:rsid w:val="00F5151A"/>
    <w:rsid w:val="00F92E4C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6A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BB64-900D-4074-BAFF-AF106B48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2103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36</cp:revision>
  <cp:lastPrinted>2019-02-22T11:08:00Z</cp:lastPrinted>
  <dcterms:created xsi:type="dcterms:W3CDTF">2018-05-25T13:57:00Z</dcterms:created>
  <dcterms:modified xsi:type="dcterms:W3CDTF">2023-08-01T13:05:00Z</dcterms:modified>
</cp:coreProperties>
</file>